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3864"/>
          <w:sz w:val="32"/>
          <w:szCs w:val="32"/>
        </w:rPr>
        <w:t xml:space="preserve">ANALYSSVAR – HJÄRNA, RISK - LÄKARTJÄNST</w:t>
      </w:r>
    </w:p>
    <w:p>
      <w:pPr>
        <w:spacing w:after="300"/>
        <w:jc w:val="center"/>
      </w:pPr>
      <w:r>
        <w:rPr>
          <w:i/>
          <w:iCs/>
          <w:color w:val="555555"/>
          <w:sz w:val="20"/>
          <w:szCs w:val="20"/>
        </w:rPr>
        <w:t xml:space="preserve">Konfidentiell patientinformation</w:t>
      </w:r>
    </w:p>
    <w:tbl>
      <w:tblPr>
        <w:tblW w:type="dxa" w:w="7200"/>
        <w:tblInd w:type="dxa" w:w="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00"/>
        <w:gridCol w:w="5000"/>
      </w:tblGrid>
      <w:tr>
        <w:tc>
          <w:tcPr>
            <w:tcW w:type="dxa" w:w="2200"/>
            <w:tcBorders>
              <w:top w:val="none" w:color="FFFFFF" w:sz="0"/>
              <w:left w:val="none" w:color="FFFFFF" w:sz="0"/>
              <w:bottom w:val="none" w:color="FFFFFF" w:sz="0"/>
              <w:right w:val="none" w:color="FFFFFF" w:sz="0"/>
            </w:tcBorders>
          </w:tcPr>
          <w:p>
            <w:r>
              <w:rPr>
                <w:b/>
                <w:bCs/>
                <w:color w:val="1F3864"/>
                <w:sz w:val="20"/>
                <w:szCs w:val="20"/>
              </w:rPr>
              <w:t xml:space="preserve">Patient:</w:t>
            </w:r>
          </w:p>
        </w:tc>
        <w:tc>
          <w:tcPr>
            <w:tcW w:type="dxa" w:w="5000"/>
            <w:tcBorders>
              <w:top w:val="none" w:color="FFFFFF" w:sz="0"/>
              <w:left w:val="none" w:color="FFFFFF" w:sz="0"/>
              <w:bottom w:val="none" w:color="FFFFFF" w:sz="0"/>
              <w:right w:val="none" w:color="FFFFFF" w:sz="0"/>
            </w:tcBorders>
          </w:tcPr>
          <w:p>
            <w:r>
              <w:rPr>
                <w:sz w:val="20"/>
                <w:szCs w:val="20"/>
              </w:rPr>
              <w:t xml:space="preserve">Erik Exempel (ÅÅÅÅMMDD-XXXX)</w:t>
            </w:r>
          </w:p>
        </w:tc>
      </w:tr>
      <w:tr>
        <w:tc>
          <w:tcPr>
            <w:tcW w:type="dxa" w:w="2200"/>
            <w:tcBorders>
              <w:top w:val="none" w:color="FFFFFF" w:sz="0"/>
              <w:left w:val="none" w:color="FFFFFF" w:sz="0"/>
              <w:bottom w:val="none" w:color="FFFFFF" w:sz="0"/>
              <w:right w:val="none" w:color="FFFFFF" w:sz="0"/>
            </w:tcBorders>
          </w:tcPr>
          <w:p>
            <w:r>
              <w:rPr>
                <w:b/>
                <w:bCs/>
                <w:color w:val="1F3864"/>
                <w:sz w:val="20"/>
                <w:szCs w:val="20"/>
              </w:rPr>
              <w:t xml:space="preserve">Provdatum:</w:t>
            </w:r>
          </w:p>
        </w:tc>
        <w:tc>
          <w:tcPr>
            <w:tcW w:type="dxa" w:w="5000"/>
            <w:tcBorders>
              <w:top w:val="none" w:color="FFFFFF" w:sz="0"/>
              <w:left w:val="none" w:color="FFFFFF" w:sz="0"/>
              <w:bottom w:val="none" w:color="FFFFFF" w:sz="0"/>
              <w:right w:val="none" w:color="FFFFFF" w:sz="0"/>
            </w:tcBorders>
          </w:tcPr>
          <w:p>
            <w:r>
              <w:rPr>
                <w:sz w:val="20"/>
                <w:szCs w:val="20"/>
              </w:rPr>
              <w:t xml:space="preserve">2026-08-10</w:t>
            </w:r>
          </w:p>
        </w:tc>
      </w:tr>
      <w:tr>
        <w:tc>
          <w:tcPr>
            <w:tcW w:type="dxa" w:w="2200"/>
            <w:tcBorders>
              <w:top w:val="none" w:color="FFFFFF" w:sz="0"/>
              <w:left w:val="none" w:color="FFFFFF" w:sz="0"/>
              <w:bottom w:val="none" w:color="FFFFFF" w:sz="0"/>
              <w:right w:val="none" w:color="FFFFFF" w:sz="0"/>
            </w:tcBorders>
          </w:tcPr>
          <w:p>
            <w:r>
              <w:rPr>
                <w:b/>
                <w:bCs/>
                <w:color w:val="1F3864"/>
                <w:sz w:val="20"/>
                <w:szCs w:val="20"/>
              </w:rPr>
              <w:t xml:space="preserve">Utfärdat:</w:t>
            </w:r>
          </w:p>
        </w:tc>
        <w:tc>
          <w:tcPr>
            <w:tcW w:type="dxa" w:w="5000"/>
            <w:tcBorders>
              <w:top w:val="none" w:color="FFFFFF" w:sz="0"/>
              <w:left w:val="none" w:color="FFFFFF" w:sz="0"/>
              <w:bottom w:val="none" w:color="FFFFFF" w:sz="0"/>
              <w:right w:val="none" w:color="FFFFFF" w:sz="0"/>
            </w:tcBorders>
          </w:tcPr>
          <w:p>
            <w:r>
              <w:rPr>
                <w:sz w:val="20"/>
                <w:szCs w:val="20"/>
              </w:rPr>
              <w:t xml:space="preserve">2026-08-22</w:t>
            </w:r>
          </w:p>
        </w:tc>
      </w:tr>
      <w:tr>
        <w:tc>
          <w:tcPr>
            <w:tcW w:type="dxa" w:w="2200"/>
            <w:tcBorders>
              <w:top w:val="none" w:color="FFFFFF" w:sz="0"/>
              <w:left w:val="none" w:color="FFFFFF" w:sz="0"/>
              <w:bottom w:val="none" w:color="FFFFFF" w:sz="0"/>
              <w:right w:val="none" w:color="FFFFFF" w:sz="0"/>
            </w:tcBorders>
          </w:tcPr>
          <w:p>
            <w:r>
              <w:rPr>
                <w:b/>
                <w:bCs/>
                <w:color w:val="1F3864"/>
                <w:sz w:val="20"/>
                <w:szCs w:val="20"/>
              </w:rPr>
              <w:t xml:space="preserve">Beställare:</w:t>
            </w:r>
          </w:p>
        </w:tc>
        <w:tc>
          <w:tcPr>
            <w:tcW w:type="dxa" w:w="5000"/>
            <w:tcBorders>
              <w:top w:val="none" w:color="FFFFFF" w:sz="0"/>
              <w:left w:val="none" w:color="FFFFFF" w:sz="0"/>
              <w:bottom w:val="none" w:color="FFFFFF" w:sz="0"/>
              <w:right w:val="none" w:color="FFFFFF" w:sz="0"/>
            </w:tcBorders>
          </w:tcPr>
          <w:p>
            <w:r>
              <w:rPr>
                <w:sz w:val="20"/>
                <w:szCs w:val="20"/>
              </w:rPr>
              <w:t xml:space="preserve">Läkartjänst / Hjärna, risk</w:t>
            </w:r>
          </w:p>
        </w:tc>
      </w:tr>
    </w:tbl>
    <w:p>
      <w:pPr>
        <w:spacing w:after="200"/>
      </w:pPr>
    </w:p>
    <w:p>
      <w:pPr>
        <w:spacing w:after="100" w:before="100"/>
      </w:pPr>
      <w:r>
        <w:rPr>
          <w:b/>
          <w:bCs/>
          <w:color w:val="1F3864"/>
          <w:sz w:val="24"/>
          <w:szCs w:val="24"/>
        </w:rPr>
        <w:t xml:space="preserve">Sammanfattning</w:t>
      </w:r>
    </w:p>
    <w:p>
      <w:pPr>
        <w:spacing w:after="200"/>
      </w:pPr>
      <w:r>
        <w:rPr>
          <w:sz w:val="22"/>
          <w:szCs w:val="22"/>
        </w:rPr>
        <w:t xml:space="preserve">Hälsokontrollen visar i huvudsak normala provsvar. Totalkolesterolet är lätt förhöjt, vilket är en av flera faktorer som ingår i den kognitiva riskprofilen nedan. Övriga analyserade värden ligger inom normalintervallet.</w:t>
      </w:r>
    </w:p>
    <w:p>
      <w:pPr>
        <w:spacing w:after="100" w:before="200"/>
      </w:pPr>
      <w:r>
        <w:rPr>
          <w:b/>
          <w:bCs/>
          <w:color w:val="1F3864"/>
          <w:sz w:val="24"/>
          <w:szCs w:val="24"/>
        </w:rPr>
        <w:t xml:space="preserve">Avvikande värden</w:t>
      </w:r>
    </w:p>
    <w:tbl>
      <w:tblPr>
        <w:tblW w:type="dxa" w:w="8350"/>
        <w:tblInd w:type="dxa" w:w="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00"/>
        <w:gridCol w:w="1300"/>
        <w:gridCol w:w="1300"/>
        <w:gridCol w:w="1200"/>
        <w:gridCol w:w="1200"/>
        <w:gridCol w:w="1750"/>
      </w:tblGrid>
      <w:tr>
        <w:trPr>
          <w:tblHeader/>
        </w:trPr>
        <w:tc>
          <w:tcPr>
            <w:tcW w:type="dxa" w:w="1400"/>
            <w:tcBorders>
              <w:top w:val="single" w:color="CCCCCC" w:sz="4"/>
              <w:left w:val="single" w:color="CCCCCC" w:sz="4"/>
              <w:bottom w:val="single" w:color="CCCCCC" w:sz="4"/>
              <w:right w:val="single" w:color="CCCCCC" w:sz="4"/>
            </w:tcBorders>
            <w:shd w:fill="1F3864" w:val="clear"/>
            <w:vAlign w:val="center"/>
          </w:tcPr>
          <w:p>
            <w:pPr>
              <w:jc w:val="center"/>
            </w:pPr>
            <w:r>
              <w:rPr>
                <w:b/>
                <w:bCs/>
                <w:color w:val="FFFFFF"/>
                <w:sz w:val="18"/>
                <w:szCs w:val="18"/>
              </w:rPr>
              <w:t xml:space="preserve">Analys</w:t>
            </w:r>
          </w:p>
        </w:tc>
        <w:tc>
          <w:tcPr>
            <w:tcW w:type="dxa" w:w="1400"/>
            <w:tcBorders>
              <w:top w:val="single" w:color="CCCCCC" w:sz="4"/>
              <w:left w:val="single" w:color="CCCCCC" w:sz="4"/>
              <w:bottom w:val="single" w:color="CCCCCC" w:sz="4"/>
              <w:right w:val="single" w:color="CCCCCC" w:sz="4"/>
            </w:tcBorders>
            <w:shd w:fill="1F3864" w:val="clear"/>
            <w:vAlign w:val="center"/>
          </w:tcPr>
          <w:p>
            <w:pPr>
              <w:jc w:val="center"/>
            </w:pPr>
            <w:r>
              <w:rPr>
                <w:b/>
                <w:bCs/>
                <w:color w:val="FFFFFF"/>
                <w:sz w:val="18"/>
                <w:szCs w:val="18"/>
              </w:rPr>
              <w:t xml:space="preserve">Resultat</w:t>
            </w:r>
          </w:p>
        </w:tc>
        <w:tc>
          <w:tcPr>
            <w:tcW w:type="dxa" w:w="1400"/>
            <w:tcBorders>
              <w:top w:val="single" w:color="CCCCCC" w:sz="4"/>
              <w:left w:val="single" w:color="CCCCCC" w:sz="4"/>
              <w:bottom w:val="single" w:color="CCCCCC" w:sz="4"/>
              <w:right w:val="single" w:color="CCCCCC" w:sz="4"/>
            </w:tcBorders>
            <w:shd w:fill="1F3864" w:val="clear"/>
            <w:vAlign w:val="center"/>
          </w:tcPr>
          <w:p>
            <w:pPr>
              <w:jc w:val="center"/>
            </w:pPr>
            <w:r>
              <w:rPr>
                <w:b/>
                <w:bCs/>
                <w:color w:val="FFFFFF"/>
                <w:sz w:val="18"/>
                <w:szCs w:val="18"/>
              </w:rPr>
              <w:t xml:space="preserve">Enhet</w:t>
            </w:r>
          </w:p>
        </w:tc>
        <w:tc>
          <w:tcPr>
            <w:tcW w:type="dxa" w:w="1400"/>
            <w:tcBorders>
              <w:top w:val="single" w:color="CCCCCC" w:sz="4"/>
              <w:left w:val="single" w:color="CCCCCC" w:sz="4"/>
              <w:bottom w:val="single" w:color="CCCCCC" w:sz="4"/>
              <w:right w:val="single" w:color="CCCCCC" w:sz="4"/>
            </w:tcBorders>
            <w:shd w:fill="1F3864" w:val="clear"/>
            <w:vAlign w:val="center"/>
          </w:tcPr>
          <w:p>
            <w:pPr>
              <w:jc w:val="center"/>
            </w:pPr>
            <w:r>
              <w:rPr>
                <w:b/>
                <w:bCs/>
                <w:color w:val="FFFFFF"/>
                <w:sz w:val="18"/>
                <w:szCs w:val="18"/>
              </w:rPr>
              <w:t xml:space="preserve">Ref.min</w:t>
            </w:r>
          </w:p>
        </w:tc>
        <w:tc>
          <w:tcPr>
            <w:tcW w:type="dxa" w:w="1400"/>
            <w:tcBorders>
              <w:top w:val="single" w:color="CCCCCC" w:sz="4"/>
              <w:left w:val="single" w:color="CCCCCC" w:sz="4"/>
              <w:bottom w:val="single" w:color="CCCCCC" w:sz="4"/>
              <w:right w:val="single" w:color="CCCCCC" w:sz="4"/>
            </w:tcBorders>
            <w:shd w:fill="1F3864" w:val="clear"/>
            <w:vAlign w:val="center"/>
          </w:tcPr>
          <w:p>
            <w:pPr>
              <w:jc w:val="center"/>
            </w:pPr>
            <w:r>
              <w:rPr>
                <w:b/>
                <w:bCs/>
                <w:color w:val="FFFFFF"/>
                <w:sz w:val="18"/>
                <w:szCs w:val="18"/>
              </w:rPr>
              <w:t xml:space="preserve">Ref.max</w:t>
            </w:r>
          </w:p>
        </w:tc>
        <w:tc>
          <w:tcPr>
            <w:tcW w:type="dxa" w:w="1400"/>
            <w:tcBorders>
              <w:top w:val="single" w:color="CCCCCC" w:sz="4"/>
              <w:left w:val="single" w:color="CCCCCC" w:sz="4"/>
              <w:bottom w:val="single" w:color="CCCCCC" w:sz="4"/>
              <w:right w:val="single" w:color="CCCCCC" w:sz="4"/>
            </w:tcBorders>
            <w:shd w:fill="1F3864" w:val="clear"/>
            <w:vAlign w:val="center"/>
          </w:tcPr>
          <w:p>
            <w:pPr>
              <w:jc w:val="center"/>
            </w:pPr>
            <w:r>
              <w:rPr>
                <w:b/>
                <w:bCs/>
                <w:color w:val="FFFFFF"/>
                <w:sz w:val="18"/>
                <w:szCs w:val="18"/>
              </w:rPr>
              <w:t xml:space="preserve">Bedömning</w:t>
            </w:r>
          </w:p>
        </w:tc>
      </w:tr>
      <w:tr>
        <w:tc>
          <w:tcPr>
            <w:tcW w:type="dxa" w:w="1400"/>
            <w:tcBorders>
              <w:top w:val="single" w:color="CCCCCC" w:sz="4"/>
              <w:left w:val="single" w:color="CCCCCC" w:sz="4"/>
              <w:bottom w:val="single" w:color="CCCCCC" w:sz="4"/>
              <w:right w:val="single" w:color="CCCCCC" w:sz="4"/>
            </w:tcBorders>
            <w:vAlign w:val="center"/>
          </w:tcPr>
          <w:p>
            <w:pPr>
              <w:jc w:val="left"/>
            </w:pPr>
            <w:r>
              <w:rPr>
                <w:b w:val="false"/>
                <w:bCs w:val="false"/>
                <w:color w:val="000000"/>
                <w:sz w:val="20"/>
                <w:szCs w:val="20"/>
              </w:rPr>
              <w:t xml:space="preserve">Totalkolesterol</w:t>
            </w:r>
          </w:p>
        </w:tc>
        <w:tc>
          <w:tcPr>
            <w:tcW w:type="dxa" w:w="1400"/>
            <w:tcBorders>
              <w:top w:val="single" w:color="CCCCCC" w:sz="4"/>
              <w:left w:val="single" w:color="CCCCCC" w:sz="4"/>
              <w:bottom w:val="single" w:color="CCCCCC" w:sz="4"/>
              <w:right w:val="single" w:color="CCCCCC" w:sz="4"/>
            </w:tcBorders>
            <w:vAlign w:val="center"/>
          </w:tcPr>
          <w:p>
            <w:pPr>
              <w:jc w:val="center"/>
            </w:pPr>
            <w:r>
              <w:rPr>
                <w:b w:val="false"/>
                <w:bCs w:val="false"/>
                <w:color w:val="000000"/>
                <w:sz w:val="20"/>
                <w:szCs w:val="20"/>
              </w:rPr>
              <w:t xml:space="preserve">6,6</w:t>
            </w:r>
          </w:p>
        </w:tc>
        <w:tc>
          <w:tcPr>
            <w:tcW w:type="dxa" w:w="1400"/>
            <w:tcBorders>
              <w:top w:val="single" w:color="CCCCCC" w:sz="4"/>
              <w:left w:val="single" w:color="CCCCCC" w:sz="4"/>
              <w:bottom w:val="single" w:color="CCCCCC" w:sz="4"/>
              <w:right w:val="single" w:color="CCCCCC" w:sz="4"/>
            </w:tcBorders>
            <w:vAlign w:val="center"/>
          </w:tcPr>
          <w:p>
            <w:pPr>
              <w:jc w:val="center"/>
            </w:pPr>
            <w:r>
              <w:rPr>
                <w:b w:val="false"/>
                <w:bCs w:val="false"/>
                <w:color w:val="000000"/>
                <w:sz w:val="20"/>
                <w:szCs w:val="20"/>
              </w:rPr>
              <w:t xml:space="preserve">mmol/L</w:t>
            </w:r>
          </w:p>
        </w:tc>
        <w:tc>
          <w:tcPr>
            <w:tcW w:type="dxa" w:w="1400"/>
            <w:tcBorders>
              <w:top w:val="single" w:color="CCCCCC" w:sz="4"/>
              <w:left w:val="single" w:color="CCCCCC" w:sz="4"/>
              <w:bottom w:val="single" w:color="CCCCCC" w:sz="4"/>
              <w:right w:val="single" w:color="CCCCCC" w:sz="4"/>
            </w:tcBorders>
            <w:vAlign w:val="center"/>
          </w:tcPr>
          <w:p>
            <w:pPr>
              <w:jc w:val="center"/>
            </w:pPr>
            <w:r>
              <w:rPr>
                <w:b w:val="false"/>
                <w:bCs w:val="false"/>
                <w:color w:val="000000"/>
                <w:sz w:val="20"/>
                <w:szCs w:val="20"/>
              </w:rPr>
              <w:t xml:space="preserve">0,0</w:t>
            </w:r>
          </w:p>
        </w:tc>
        <w:tc>
          <w:tcPr>
            <w:tcW w:type="dxa" w:w="1400"/>
            <w:tcBorders>
              <w:top w:val="single" w:color="CCCCCC" w:sz="4"/>
              <w:left w:val="single" w:color="CCCCCC" w:sz="4"/>
              <w:bottom w:val="single" w:color="CCCCCC" w:sz="4"/>
              <w:right w:val="single" w:color="CCCCCC" w:sz="4"/>
            </w:tcBorders>
            <w:vAlign w:val="center"/>
          </w:tcPr>
          <w:p>
            <w:pPr>
              <w:jc w:val="center"/>
            </w:pPr>
            <w:r>
              <w:rPr>
                <w:b w:val="false"/>
                <w:bCs w:val="false"/>
                <w:color w:val="000000"/>
                <w:sz w:val="20"/>
                <w:szCs w:val="20"/>
              </w:rPr>
              <w:t xml:space="preserve">6,5</w:t>
            </w:r>
          </w:p>
        </w:tc>
        <w:tc>
          <w:tcPr>
            <w:tcW w:type="dxa" w:w="1400"/>
            <w:tcBorders>
              <w:top w:val="single" w:color="CCCCCC" w:sz="4"/>
              <w:left w:val="single" w:color="CCCCCC" w:sz="4"/>
              <w:bottom w:val="single" w:color="CCCCCC" w:sz="4"/>
              <w:right w:val="single" w:color="CCCCCC" w:sz="4"/>
            </w:tcBorders>
            <w:vAlign w:val="center"/>
          </w:tcPr>
          <w:p>
            <w:pPr>
              <w:jc w:val="center"/>
            </w:pPr>
            <w:r>
              <w:rPr>
                <w:b/>
                <w:bCs/>
                <w:color w:val="9C2B2B"/>
                <w:sz w:val="20"/>
                <w:szCs w:val="20"/>
              </w:rPr>
              <w:t xml:space="preserve">Lätt förhöjt</w:t>
            </w:r>
          </w:p>
        </w:tc>
      </w:tr>
    </w:tbl>
    <w:p>
      <w:pPr>
        <w:spacing w:after="200"/>
      </w:pPr>
    </w:p>
    <w:p>
      <w:pPr>
        <w:spacing w:after="100" w:before="200"/>
      </w:pPr>
      <w:r>
        <w:rPr>
          <w:b/>
          <w:bCs/>
          <w:sz w:val="22"/>
          <w:szCs w:val="22"/>
        </w:rPr>
        <w:t xml:space="preserve">Blodfetter</w:t>
      </w:r>
    </w:p>
    <w:p>
      <w:pPr>
        <w:spacing w:after="300"/>
      </w:pPr>
      <w:r>
        <w:rPr>
          <w:sz w:val="22"/>
          <w:szCs w:val="22"/>
        </w:rPr>
        <w:t xml:space="preserve">Ditt totalkolesterol är något högre än referensintervallet. Detta är vanligt förekommande och kan påverkas positivt genom kost och fysisk aktivitet. Totalkolesterolet är en av flera faktorer som vägs in i den kognitiva riskbedömningen nedan, eftersom kärlhälsa i medelåldern har visat samband med hjärnans hälsa senare i livet.</w:t>
      </w:r>
    </w:p>
    <w:p>
      <w:pPr>
        <w:keepNext/>
        <w:spacing w:after="100" w:before="200"/>
      </w:pPr>
      <w:r>
        <w:rPr>
          <w:b/>
          <w:bCs/>
          <w:color w:val="1F3864"/>
          <w:sz w:val="24"/>
          <w:szCs w:val="24"/>
        </w:rPr>
        <w:t xml:space="preserve">Kognitiv riskprofil (CAIDE)</w:t>
      </w:r>
    </w:p>
    <w:tbl>
      <w:tblPr>
        <w:tblW w:type="dxa" w:w="9906"/>
        <w:tblInd w:type="dxa" w:w="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906"/>
      </w:tblGrid>
      <w:tr>
        <w:trPr>
          <w:cantSplit/>
        </w:trPr>
        <w:tc>
          <w:tcPr>
            <w:tcW w:type="dxa" w:w="9906"/>
            <w:tcBorders>
              <w:top w:val="single" w:color="1F3864" w:sz="8"/>
              <w:left w:val="single" w:color="1F3864" w:sz="8"/>
              <w:bottom w:val="single" w:color="1F3864" w:sz="8"/>
              <w:right w:val="single" w:color="1F3864" w:sz="8"/>
            </w:tcBorders>
            <w:shd w:fill="EAF0F7" w:val="clear"/>
            <w:tcMar>
              <w:top w:type="dxa" w:w="150"/>
              <w:left w:type="dxa" w:w="200"/>
              <w:bottom w:type="dxa" w:w="150"/>
              <w:right w:type="dxa" w:w="200"/>
            </w:tcMar>
          </w:tcPr>
          <w:p>
            <w:pPr>
              <w:spacing w:after="100"/>
            </w:pPr>
            <w:r>
              <w:rPr>
                <w:b/>
                <w:bCs/>
                <w:sz w:val="20"/>
                <w:szCs w:val="20"/>
              </w:rPr>
              <w:t xml:space="preserve">Underlag: </w:t>
            </w:r>
            <w:r>
              <w:rPr>
                <w:sz w:val="20"/>
                <w:szCs w:val="20"/>
              </w:rPr>
              <w:t xml:space="preserve">Man, 64 år | Utbildning: 9 år | Systoliskt blodtryck 148 mmHg | BMI 29 | Totalkolesterol 6,6 mmol/L | Fysisk aktivitet: låg (mindre än 2 ggr/vecka)</w:t>
            </w:r>
          </w:p>
          <w:p>
            <w:pPr>
              <w:spacing w:after="100"/>
            </w:pPr>
            <w:r>
              <w:rPr>
                <w:b/>
                <w:bCs/>
                <w:sz w:val="22"/>
                <w:szCs w:val="22"/>
              </w:rPr>
              <w:t xml:space="preserve">CAIDE-poäng: </w:t>
            </w:r>
            <w:r>
              <w:rPr>
                <w:b/>
                <w:bCs/>
                <w:color w:val="9C2B2B"/>
                <w:sz w:val="22"/>
                <w:szCs w:val="22"/>
              </w:rPr>
              <w:t xml:space="preserve">12 av 15</w:t>
            </w:r>
          </w:p>
          <w:p>
            <w:pPr>
              <w:spacing w:after="100"/>
            </w:pPr>
            <w:r>
              <w:rPr>
                <w:b/>
                <w:bCs/>
                <w:sz w:val="20"/>
                <w:szCs w:val="20"/>
              </w:rPr>
              <w:t xml:space="preserve">Riskkategori: </w:t>
            </w:r>
            <w:r>
              <w:rPr>
                <w:sz w:val="20"/>
                <w:szCs w:val="20"/>
              </w:rPr>
              <w:t xml:space="preserve">Förhöjd 20-årsrisk för demens, cirka 16 % (jämfört med cirka 1 % vid lägsta poängintervallet 0–5)</w:t>
            </w:r>
          </w:p>
          <w:p>
            <w:pPr>
              <w:spacing w:after="60" w:before="100"/>
            </w:pPr>
            <w:r>
              <w:rPr>
                <w:b/>
                <w:bCs/>
                <w:color w:val="1F3864"/>
                <w:sz w:val="20"/>
                <w:szCs w:val="20"/>
              </w:rPr>
              <w:t xml:space="preserve">Vad poängen bygger på</w:t>
            </w:r>
          </w:p>
          <w:p>
            <w:pPr>
              <w:spacing w:after="100"/>
            </w:pPr>
            <w:r>
              <w:rPr>
                <w:sz w:val="20"/>
                <w:szCs w:val="20"/>
              </w:rPr>
              <w:t xml:space="preserve">CAIDE-poängen (Cardiovascular Risk Factors, Aging and Incidence of Dementia) togs ursprungligen fram i en finsk befolkningsstudie för att skatta 20-årsrisken för demens utifrån riskfaktorer i medelåldern: ålder, kön, utbildningsnivå, blodtryck, BMI, totalkolesterol och fysisk aktivitet. I ditt fall bidrar framför allt ett något förhöjt blodtryck, lätt förhöjt totalkolesterol och en förhållandevis låg fysisk aktivitetsnivå till den samlade poängen.</w:t>
            </w:r>
          </w:p>
          <w:p>
            <w:pPr>
              <w:spacing w:after="100"/>
            </w:pPr>
            <w:r>
              <w:rPr>
                <w:sz w:val="20"/>
                <w:szCs w:val="20"/>
              </w:rPr>
              <w:t xml:space="preserve">Det viktigaste budskapet är att detta är riskfaktorer som går att påverka: regelbunden fysisk aktivitet, bättre blodtryckskontroll och en hjärthälsosam kost är alla åtgärder som i studier visat samband med minskad risk för kognitiv svikt senare i livet.</w:t>
            </w:r>
          </w:p>
          <w:p>
            <w:pPr>
              <w:spacing w:after="0"/>
            </w:pPr>
            <w:r>
              <w:rPr>
                <w:i/>
                <w:iCs/>
                <w:color w:val="555555"/>
                <w:sz w:val="18"/>
                <w:szCs w:val="18"/>
              </w:rPr>
              <w:t xml:space="preserve">Observera: CAIDE-poängen är ett grövre verktyg än exempelvis SCORE2 och är avsett att peka på en riskriktning snarare än en exakt prognos för den enskilda individen. Poängen inkluderar inte alla kända riskfaktorer (t.ex. hörsel, social isolering, alkohol, depression) och bör ses som ett komplement till, inte en ersättning för, klinisk bedömning.</w:t>
            </w:r>
          </w:p>
        </w:tc>
      </w:tr>
    </w:tbl>
    <w:p>
      <w:pPr>
        <w:spacing w:before="400"/>
      </w:pPr>
      <w:r>
        <w:rPr>
          <w:sz w:val="22"/>
          <w:szCs w:val="22"/>
        </w:rPr>
        <w:t xml:space="preserve">Med vänlig hälsning,</w:t>
      </w:r>
    </w:p>
    <w:p>
      <w:pPr>
        <w:spacing w:after="600"/>
      </w:pPr>
    </w:p>
    <w:p>
      <w:r>
        <w:rPr>
          <w:b/>
          <w:bCs/>
          <w:color w:val="1F3864"/>
          <w:sz w:val="22"/>
          <w:szCs w:val="22"/>
        </w:rPr>
        <w:t xml:space="preserve">Läkartjänst</w:t>
      </w:r>
    </w:p>
    <w:p>
      <w:r>
        <w:rPr>
          <w:sz w:val="22"/>
          <w:szCs w:val="22"/>
        </w:rPr>
        <w:t xml:space="preserve">Mats-Ola Mattsson</w:t>
      </w:r>
    </w:p>
    <w:p>
      <w:r>
        <w:rPr>
          <w:i/>
          <w:iCs/>
          <w:sz w:val="20"/>
          <w:szCs w:val="20"/>
        </w:rPr>
        <w:t xml:space="preserve">Specialist inom kardiologi</w:t>
      </w:r>
    </w:p>
    <w:p>
      <w:r>
        <w:rPr>
          <w:color w:val="555555"/>
          <w:sz w:val="18"/>
          <w:szCs w:val="18"/>
        </w:rPr>
        <w:t xml:space="preserve">Köpmansgatan 9, 22100 Mariehamn</w:t>
      </w:r>
    </w:p>
    <w:p>
      <w:r>
        <w:rPr>
          <w:color w:val="555555"/>
          <w:sz w:val="18"/>
          <w:szCs w:val="18"/>
        </w:rPr>
        <w:t xml:space="preserve">Tel: 018-26700</w:t>
      </w:r>
    </w:p>
    <w:p>
      <w:r>
        <w:rPr>
          <w:color w:val="555555"/>
          <w:sz w:val="18"/>
          <w:szCs w:val="18"/>
        </w:rPr>
        <w:t xml:space="preserve">info@lakartjanst.ax</w:t>
      </w:r>
    </w:p>
    <w:p>
      <w:r>
        <w:rPr>
          <w:color w:val="555555"/>
          <w:sz w:val="18"/>
          <w:szCs w:val="18"/>
        </w:rPr>
        <w:t xml:space="preserve">www.lakartjanst.com</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2026-08-22T05:18:27.714Z</dcterms:created>
  <dcterms:modified xsi:type="dcterms:W3CDTF">2026-08-22T05:18:27.729Z</dcterms:modified>
</cp:coreProperties>
</file>

<file path=docProps/custom.xml><?xml version="1.0" encoding="utf-8"?>
<Properties xmlns="http://schemas.openxmlformats.org/officeDocument/2006/custom-properties" xmlns:vt="http://schemas.openxmlformats.org/officeDocument/2006/docPropsVTypes"/>
</file>